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1774" w14:textId="53DA7685" w:rsidR="00416ADC" w:rsidRPr="00416ADC" w:rsidRDefault="00416ADC" w:rsidP="006361EA">
      <w:pPr>
        <w:jc w:val="center"/>
        <w:rPr>
          <w:b/>
          <w:bCs/>
          <w:sz w:val="16"/>
          <w:szCs w:val="16"/>
        </w:rPr>
      </w:pPr>
      <w:r w:rsidRPr="00416ADC">
        <w:rPr>
          <w:b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29568C71" wp14:editId="6FDC0C33">
            <wp:simplePos x="0" y="0"/>
            <wp:positionH relativeFrom="column">
              <wp:posOffset>-236220</wp:posOffset>
            </wp:positionH>
            <wp:positionV relativeFrom="paragraph">
              <wp:posOffset>-217170</wp:posOffset>
            </wp:positionV>
            <wp:extent cx="3429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80" y="21360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 manag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0704A" w14:textId="1E3C341B" w:rsidR="00063A3E" w:rsidRPr="00831B6B" w:rsidRDefault="00416ADC" w:rsidP="006361EA">
      <w:pPr>
        <w:jc w:val="center"/>
        <w:rPr>
          <w:b/>
          <w:bCs/>
          <w:sz w:val="48"/>
          <w:szCs w:val="52"/>
        </w:rPr>
      </w:pPr>
      <w:r w:rsidRPr="00831B6B">
        <w:rPr>
          <w:b/>
          <w:bCs/>
          <w:sz w:val="48"/>
          <w:szCs w:val="52"/>
        </w:rPr>
        <w:t>Foundation Core Teaching</w:t>
      </w:r>
    </w:p>
    <w:p w14:paraId="45E3B8B5" w14:textId="77777777" w:rsidR="00416ADC" w:rsidRPr="00831B6B" w:rsidRDefault="00416ADC" w:rsidP="006361EA">
      <w:pPr>
        <w:jc w:val="center"/>
        <w:rPr>
          <w:b/>
          <w:bCs/>
          <w:sz w:val="48"/>
          <w:szCs w:val="52"/>
        </w:rPr>
      </w:pPr>
    </w:p>
    <w:p w14:paraId="443335D0" w14:textId="77777777" w:rsidR="00831B6B" w:rsidRDefault="00831B6B" w:rsidP="00416ADC">
      <w:pPr>
        <w:jc w:val="center"/>
        <w:rPr>
          <w:b/>
          <w:bCs/>
          <w:sz w:val="48"/>
          <w:szCs w:val="52"/>
        </w:rPr>
      </w:pPr>
    </w:p>
    <w:p w14:paraId="34C903CE" w14:textId="5E82ABDD" w:rsidR="00416ADC" w:rsidRDefault="00416ADC" w:rsidP="00416ADC">
      <w:pPr>
        <w:jc w:val="center"/>
        <w:rPr>
          <w:b/>
          <w:bCs/>
          <w:sz w:val="48"/>
          <w:szCs w:val="52"/>
        </w:rPr>
      </w:pPr>
      <w:r w:rsidRPr="00831B6B">
        <w:rPr>
          <w:b/>
          <w:bCs/>
          <w:sz w:val="48"/>
          <w:szCs w:val="52"/>
        </w:rPr>
        <w:t>Pain Management S</w:t>
      </w:r>
      <w:r w:rsidR="006361EA" w:rsidRPr="00831B6B">
        <w:rPr>
          <w:b/>
          <w:bCs/>
          <w:sz w:val="48"/>
          <w:szCs w:val="52"/>
        </w:rPr>
        <w:t>eminars</w:t>
      </w:r>
    </w:p>
    <w:p w14:paraId="02053C86" w14:textId="77777777" w:rsidR="002F51B3" w:rsidRDefault="00831B6B" w:rsidP="002F51B3">
      <w:pPr>
        <w:jc w:val="center"/>
        <w:rPr>
          <w:b/>
          <w:bCs/>
          <w:sz w:val="24"/>
          <w:szCs w:val="52"/>
        </w:rPr>
      </w:pPr>
      <w:r w:rsidRPr="00970C7A">
        <w:rPr>
          <w:b/>
          <w:bCs/>
          <w:sz w:val="24"/>
          <w:szCs w:val="52"/>
        </w:rPr>
        <w:t>*** Booking is essential via https://www.pgmeplymouth.com/pain-management as spaces are limited ***</w:t>
      </w:r>
    </w:p>
    <w:p w14:paraId="00389CB6" w14:textId="08DC2F0A" w:rsidR="00416ADC" w:rsidRPr="002F51B3" w:rsidRDefault="00416ADC" w:rsidP="002F51B3">
      <w:pPr>
        <w:jc w:val="center"/>
        <w:rPr>
          <w:b/>
          <w:bCs/>
          <w:sz w:val="24"/>
          <w:szCs w:val="52"/>
        </w:rPr>
      </w:pPr>
      <w:r w:rsidRPr="00831B6B">
        <w:rPr>
          <w:rFonts w:cstheme="minorHAnsi"/>
          <w:color w:val="000000"/>
          <w:sz w:val="24"/>
          <w:szCs w:val="28"/>
        </w:rPr>
        <w:t>Specifically designed seminars for Foundation Doctors as part of their core teaching hours.  Although attendance at these sessions is not mandatory, </w:t>
      </w:r>
      <w:r w:rsidRPr="00831B6B">
        <w:rPr>
          <w:rFonts w:cstheme="minorHAnsi"/>
          <w:b/>
          <w:bCs/>
          <w:color w:val="000000"/>
          <w:sz w:val="24"/>
          <w:szCs w:val="28"/>
          <w:bdr w:val="none" w:sz="0" w:space="0" w:color="auto" w:frame="1"/>
        </w:rPr>
        <w:t>they are of utmost importance and a patient safety issue. These sessions are useful, practical and highly relevant so we highly recommend you attend at least one of these seminars</w:t>
      </w:r>
      <w:r w:rsidRPr="00831B6B">
        <w:rPr>
          <w:rFonts w:ascii="Arial" w:hAnsi="Arial" w:cs="Arial"/>
          <w:b/>
          <w:bCs/>
          <w:color w:val="000000"/>
          <w:sz w:val="24"/>
          <w:szCs w:val="27"/>
          <w:bdr w:val="none" w:sz="0" w:space="0" w:color="auto" w:frame="1"/>
        </w:rPr>
        <w:t>.</w:t>
      </w:r>
    </w:p>
    <w:p w14:paraId="51857F0A" w14:textId="31A3D9E1" w:rsidR="00DE38A8" w:rsidRPr="00DE38A8" w:rsidRDefault="002F51B3" w:rsidP="00DE38A8">
      <w:pPr>
        <w:jc w:val="center"/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Monday</w:t>
      </w:r>
      <w:r w:rsidR="006361EA" w:rsidRPr="00831B6B">
        <w:rPr>
          <w:color w:val="FF0000"/>
          <w:sz w:val="24"/>
          <w:szCs w:val="28"/>
        </w:rPr>
        <w:t xml:space="preserve"> lunchtimes 12:30-13:30 PGMC</w:t>
      </w:r>
      <w:r w:rsidR="00E34200" w:rsidRPr="00831B6B">
        <w:rPr>
          <w:color w:val="FF0000"/>
          <w:sz w:val="24"/>
          <w:szCs w:val="28"/>
        </w:rPr>
        <w:t xml:space="preserve"> 202</w:t>
      </w:r>
      <w:r>
        <w:rPr>
          <w:color w:val="FF0000"/>
          <w:sz w:val="24"/>
          <w:szCs w:val="28"/>
        </w:rPr>
        <w:t>1</w:t>
      </w:r>
      <w:r w:rsidR="00E34200" w:rsidRPr="00831B6B">
        <w:rPr>
          <w:color w:val="FF0000"/>
          <w:sz w:val="24"/>
          <w:szCs w:val="28"/>
        </w:rPr>
        <w:t>-202</w:t>
      </w:r>
      <w:r>
        <w:rPr>
          <w:color w:val="FF0000"/>
          <w:sz w:val="24"/>
          <w:szCs w:val="28"/>
        </w:rPr>
        <w:t>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8"/>
        <w:gridCol w:w="5194"/>
      </w:tblGrid>
      <w:tr w:rsidR="00DE38A8" w14:paraId="70B46A6D" w14:textId="77777777" w:rsidTr="00DE38A8">
        <w:tc>
          <w:tcPr>
            <w:tcW w:w="5381" w:type="dxa"/>
          </w:tcPr>
          <w:p w14:paraId="4533B518" w14:textId="27075337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August 22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381" w:type="dxa"/>
          </w:tcPr>
          <w:p w14:paraId="6BB743E4" w14:textId="112C3DD6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Seminar Room 4</w:t>
            </w:r>
          </w:p>
        </w:tc>
      </w:tr>
      <w:tr w:rsidR="00DE38A8" w14:paraId="0CFE35C2" w14:textId="77777777" w:rsidTr="00DE38A8">
        <w:tc>
          <w:tcPr>
            <w:tcW w:w="5381" w:type="dxa"/>
          </w:tcPr>
          <w:p w14:paraId="5463C751" w14:textId="072530DA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September 26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  <w:vertAlign w:val="superscript"/>
              </w:rPr>
              <w:t>th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  </w:t>
            </w:r>
          </w:p>
        </w:tc>
        <w:tc>
          <w:tcPr>
            <w:tcW w:w="5381" w:type="dxa"/>
          </w:tcPr>
          <w:p w14:paraId="12E241AD" w14:textId="671C8262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Seminar Room </w:t>
            </w:r>
            <w:r>
              <w:rPr>
                <w:rFonts w:ascii="Calibri" w:hAnsi="Calibri" w:cs="Calibri"/>
                <w:color w:val="1F497D"/>
                <w:sz w:val="28"/>
                <w:szCs w:val="28"/>
              </w:rPr>
              <w:t>1</w:t>
            </w:r>
          </w:p>
        </w:tc>
      </w:tr>
      <w:tr w:rsidR="00DE38A8" w14:paraId="595AA1BE" w14:textId="77777777" w:rsidTr="00DE38A8">
        <w:tc>
          <w:tcPr>
            <w:tcW w:w="5381" w:type="dxa"/>
          </w:tcPr>
          <w:p w14:paraId="0F6117E4" w14:textId="56E8FC6D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October 31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  <w:vertAlign w:val="superscript"/>
              </w:rPr>
              <w:t>st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   </w:t>
            </w:r>
          </w:p>
        </w:tc>
        <w:tc>
          <w:tcPr>
            <w:tcW w:w="5381" w:type="dxa"/>
          </w:tcPr>
          <w:p w14:paraId="1ADE3316" w14:textId="0B1848FC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Seminar Room </w:t>
            </w:r>
            <w:r>
              <w:rPr>
                <w:rFonts w:ascii="Calibri" w:hAnsi="Calibri" w:cs="Calibri"/>
                <w:color w:val="1F497D"/>
                <w:sz w:val="28"/>
                <w:szCs w:val="28"/>
              </w:rPr>
              <w:t>2</w:t>
            </w:r>
          </w:p>
        </w:tc>
      </w:tr>
      <w:tr w:rsidR="00DE38A8" w14:paraId="7369A5C0" w14:textId="77777777" w:rsidTr="00DE38A8">
        <w:tc>
          <w:tcPr>
            <w:tcW w:w="5381" w:type="dxa"/>
          </w:tcPr>
          <w:p w14:paraId="04FBCC32" w14:textId="76566B44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November 21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  <w:vertAlign w:val="superscript"/>
              </w:rPr>
              <w:t>st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 </w:t>
            </w:r>
          </w:p>
        </w:tc>
        <w:tc>
          <w:tcPr>
            <w:tcW w:w="5381" w:type="dxa"/>
          </w:tcPr>
          <w:p w14:paraId="4AD5494B" w14:textId="57933CBE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Seminar Room 4</w:t>
            </w:r>
          </w:p>
        </w:tc>
      </w:tr>
      <w:tr w:rsidR="00DE38A8" w14:paraId="70C7C20E" w14:textId="77777777" w:rsidTr="00DE38A8">
        <w:tc>
          <w:tcPr>
            <w:tcW w:w="5381" w:type="dxa"/>
          </w:tcPr>
          <w:p w14:paraId="370898FB" w14:textId="66FB5E31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January 30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  <w:vertAlign w:val="superscript"/>
              </w:rPr>
              <w:t>th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 </w:t>
            </w:r>
          </w:p>
        </w:tc>
        <w:tc>
          <w:tcPr>
            <w:tcW w:w="5381" w:type="dxa"/>
          </w:tcPr>
          <w:p w14:paraId="5FE1B41E" w14:textId="468E26CE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Seminar Room 4</w:t>
            </w:r>
          </w:p>
        </w:tc>
      </w:tr>
      <w:tr w:rsidR="00DE38A8" w14:paraId="6B7BB18E" w14:textId="77777777" w:rsidTr="00DE38A8">
        <w:tc>
          <w:tcPr>
            <w:tcW w:w="5381" w:type="dxa"/>
          </w:tcPr>
          <w:p w14:paraId="3A6C8727" w14:textId="63361A6F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February 20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  <w:vertAlign w:val="superscript"/>
              </w:rPr>
              <w:t>th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          </w:t>
            </w:r>
          </w:p>
        </w:tc>
        <w:tc>
          <w:tcPr>
            <w:tcW w:w="5381" w:type="dxa"/>
          </w:tcPr>
          <w:p w14:paraId="7089A494" w14:textId="53CA0BEC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Seminar Room </w:t>
            </w:r>
            <w:r>
              <w:rPr>
                <w:rFonts w:ascii="Calibri" w:hAnsi="Calibri" w:cs="Calibri"/>
                <w:color w:val="1F497D"/>
                <w:sz w:val="28"/>
                <w:szCs w:val="28"/>
              </w:rPr>
              <w:t>1</w:t>
            </w:r>
          </w:p>
        </w:tc>
      </w:tr>
      <w:tr w:rsidR="00DE38A8" w14:paraId="4C4408E9" w14:textId="77777777" w:rsidTr="00DE38A8">
        <w:tc>
          <w:tcPr>
            <w:tcW w:w="5381" w:type="dxa"/>
          </w:tcPr>
          <w:p w14:paraId="03579518" w14:textId="701769B7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March 20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  <w:vertAlign w:val="superscript"/>
              </w:rPr>
              <w:t>th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              </w:t>
            </w:r>
          </w:p>
        </w:tc>
        <w:tc>
          <w:tcPr>
            <w:tcW w:w="5381" w:type="dxa"/>
          </w:tcPr>
          <w:p w14:paraId="51FF5A9D" w14:textId="293EC9CE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Seminar Room 4</w:t>
            </w:r>
          </w:p>
        </w:tc>
      </w:tr>
      <w:tr w:rsidR="00DE38A8" w14:paraId="5A3AEF02" w14:textId="77777777" w:rsidTr="00DE38A8">
        <w:tc>
          <w:tcPr>
            <w:tcW w:w="5381" w:type="dxa"/>
          </w:tcPr>
          <w:p w14:paraId="69169E3F" w14:textId="6C46A065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April 17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  <w:vertAlign w:val="superscript"/>
              </w:rPr>
              <w:t xml:space="preserve">th </w:t>
            </w: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                 </w:t>
            </w:r>
          </w:p>
        </w:tc>
        <w:tc>
          <w:tcPr>
            <w:tcW w:w="5381" w:type="dxa"/>
          </w:tcPr>
          <w:p w14:paraId="23C1BB4B" w14:textId="68D0B368" w:rsidR="00DE38A8" w:rsidRDefault="00DE38A8" w:rsidP="00DE38A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  <w:r w:rsidRPr="00DE38A8">
              <w:rPr>
                <w:rFonts w:ascii="Calibri" w:hAnsi="Calibri" w:cs="Calibri"/>
                <w:color w:val="1F497D"/>
                <w:sz w:val="28"/>
                <w:szCs w:val="28"/>
              </w:rPr>
              <w:t>Seminar Room 4</w:t>
            </w:r>
          </w:p>
        </w:tc>
      </w:tr>
    </w:tbl>
    <w:p w14:paraId="00013338" w14:textId="61928F0F" w:rsidR="00B25448" w:rsidRPr="00DE38A8" w:rsidRDefault="00B25448" w:rsidP="00DE38A8">
      <w:pPr>
        <w:spacing w:after="0"/>
        <w:ind w:left="360"/>
        <w:jc w:val="center"/>
        <w:rPr>
          <w:color w:val="212121"/>
          <w:sz w:val="28"/>
          <w:szCs w:val="28"/>
        </w:rPr>
      </w:pPr>
    </w:p>
    <w:p w14:paraId="4D4164EB" w14:textId="77777777" w:rsidR="00831B6B" w:rsidRDefault="00831B6B" w:rsidP="00831B6B">
      <w:pPr>
        <w:spacing w:after="0" w:line="240" w:lineRule="auto"/>
        <w:rPr>
          <w:b/>
          <w:bCs/>
          <w:sz w:val="28"/>
          <w:szCs w:val="36"/>
        </w:rPr>
      </w:pPr>
    </w:p>
    <w:p w14:paraId="5D0932B1" w14:textId="6FC0A9DD" w:rsidR="006361EA" w:rsidRPr="00831B6B" w:rsidRDefault="006361EA" w:rsidP="006361EA">
      <w:pPr>
        <w:spacing w:after="0" w:line="240" w:lineRule="auto"/>
        <w:jc w:val="center"/>
        <w:rPr>
          <w:b/>
          <w:bCs/>
          <w:sz w:val="24"/>
          <w:szCs w:val="36"/>
        </w:rPr>
      </w:pPr>
      <w:r w:rsidRPr="00831B6B">
        <w:rPr>
          <w:b/>
          <w:bCs/>
          <w:sz w:val="24"/>
          <w:szCs w:val="36"/>
        </w:rPr>
        <w:t>Confused about managing complex pain problems?</w:t>
      </w:r>
    </w:p>
    <w:p w14:paraId="005A6B41" w14:textId="77777777" w:rsidR="006361EA" w:rsidRPr="00831B6B" w:rsidRDefault="006361EA" w:rsidP="006361EA">
      <w:pPr>
        <w:spacing w:after="0" w:line="240" w:lineRule="auto"/>
        <w:jc w:val="center"/>
        <w:rPr>
          <w:b/>
          <w:bCs/>
          <w:sz w:val="10"/>
          <w:szCs w:val="16"/>
        </w:rPr>
      </w:pPr>
    </w:p>
    <w:p w14:paraId="768DE80B" w14:textId="27D14693" w:rsidR="006361EA" w:rsidRPr="00831B6B" w:rsidRDefault="006361EA" w:rsidP="006361EA">
      <w:pPr>
        <w:spacing w:after="0" w:line="240" w:lineRule="auto"/>
        <w:jc w:val="center"/>
        <w:rPr>
          <w:b/>
          <w:bCs/>
          <w:sz w:val="24"/>
          <w:szCs w:val="36"/>
        </w:rPr>
      </w:pPr>
      <w:r w:rsidRPr="00831B6B">
        <w:rPr>
          <w:b/>
          <w:bCs/>
          <w:sz w:val="24"/>
          <w:szCs w:val="36"/>
        </w:rPr>
        <w:t>Not sure what chronic pain is?</w:t>
      </w:r>
    </w:p>
    <w:p w14:paraId="228D4475" w14:textId="77777777" w:rsidR="006361EA" w:rsidRPr="00831B6B" w:rsidRDefault="006361EA" w:rsidP="006361EA">
      <w:pPr>
        <w:spacing w:after="0" w:line="240" w:lineRule="auto"/>
        <w:jc w:val="center"/>
        <w:rPr>
          <w:b/>
          <w:bCs/>
          <w:sz w:val="10"/>
          <w:szCs w:val="16"/>
        </w:rPr>
      </w:pPr>
    </w:p>
    <w:p w14:paraId="0C483D17" w14:textId="594717FF" w:rsidR="006361EA" w:rsidRPr="00831B6B" w:rsidRDefault="006361EA" w:rsidP="006361EA">
      <w:pPr>
        <w:spacing w:after="0" w:line="240" w:lineRule="auto"/>
        <w:jc w:val="center"/>
        <w:rPr>
          <w:b/>
          <w:bCs/>
          <w:sz w:val="24"/>
          <w:szCs w:val="36"/>
        </w:rPr>
      </w:pPr>
      <w:r w:rsidRPr="00831B6B">
        <w:rPr>
          <w:b/>
          <w:bCs/>
          <w:sz w:val="24"/>
          <w:szCs w:val="36"/>
        </w:rPr>
        <w:t>Difficulty managing opioid</w:t>
      </w:r>
      <w:r w:rsidR="0080212C" w:rsidRPr="00831B6B">
        <w:rPr>
          <w:b/>
          <w:bCs/>
          <w:sz w:val="24"/>
          <w:szCs w:val="36"/>
        </w:rPr>
        <w:t>-</w:t>
      </w:r>
      <w:r w:rsidRPr="00831B6B">
        <w:rPr>
          <w:b/>
          <w:bCs/>
          <w:sz w:val="24"/>
          <w:szCs w:val="36"/>
        </w:rPr>
        <w:t>tolerant patients?</w:t>
      </w:r>
    </w:p>
    <w:p w14:paraId="1A16E178" w14:textId="77777777" w:rsidR="006361EA" w:rsidRPr="00831B6B" w:rsidRDefault="006361EA" w:rsidP="006361EA">
      <w:pPr>
        <w:spacing w:after="0" w:line="240" w:lineRule="auto"/>
        <w:jc w:val="center"/>
        <w:rPr>
          <w:b/>
          <w:bCs/>
          <w:sz w:val="10"/>
          <w:szCs w:val="16"/>
        </w:rPr>
      </w:pPr>
    </w:p>
    <w:p w14:paraId="530F6A20" w14:textId="7AD4859E" w:rsidR="006361EA" w:rsidRPr="00831B6B" w:rsidRDefault="006361EA" w:rsidP="006361EA">
      <w:pPr>
        <w:spacing w:after="0" w:line="240" w:lineRule="auto"/>
        <w:jc w:val="center"/>
        <w:rPr>
          <w:b/>
          <w:bCs/>
          <w:sz w:val="24"/>
          <w:szCs w:val="36"/>
        </w:rPr>
      </w:pPr>
      <w:r w:rsidRPr="00831B6B">
        <w:rPr>
          <w:b/>
          <w:bCs/>
          <w:sz w:val="24"/>
          <w:szCs w:val="36"/>
        </w:rPr>
        <w:t>What is neuropathic pain?</w:t>
      </w:r>
    </w:p>
    <w:p w14:paraId="4616F41C" w14:textId="77777777" w:rsidR="006361EA" w:rsidRPr="00831B6B" w:rsidRDefault="006361EA" w:rsidP="006361EA">
      <w:pPr>
        <w:spacing w:after="0" w:line="240" w:lineRule="auto"/>
        <w:jc w:val="center"/>
        <w:rPr>
          <w:b/>
          <w:bCs/>
          <w:sz w:val="10"/>
          <w:szCs w:val="16"/>
        </w:rPr>
      </w:pPr>
    </w:p>
    <w:p w14:paraId="5A8D6F37" w14:textId="7E0D4ADC" w:rsidR="008F13BB" w:rsidRPr="00831B6B" w:rsidRDefault="006361EA" w:rsidP="006361EA">
      <w:pPr>
        <w:spacing w:after="0" w:line="240" w:lineRule="auto"/>
        <w:jc w:val="center"/>
        <w:rPr>
          <w:b/>
          <w:bCs/>
          <w:sz w:val="24"/>
          <w:szCs w:val="36"/>
        </w:rPr>
      </w:pPr>
      <w:r w:rsidRPr="00831B6B">
        <w:rPr>
          <w:b/>
          <w:bCs/>
          <w:sz w:val="24"/>
          <w:szCs w:val="36"/>
        </w:rPr>
        <w:t>What should I prescribe at discharge?</w:t>
      </w:r>
    </w:p>
    <w:p w14:paraId="00411CF8" w14:textId="77777777" w:rsidR="006361EA" w:rsidRPr="00831B6B" w:rsidRDefault="006361EA" w:rsidP="0080212C">
      <w:pPr>
        <w:spacing w:after="0" w:line="240" w:lineRule="auto"/>
        <w:rPr>
          <w:sz w:val="32"/>
          <w:szCs w:val="36"/>
        </w:rPr>
      </w:pPr>
    </w:p>
    <w:p w14:paraId="7993F816" w14:textId="13CBFECB" w:rsidR="006361EA" w:rsidRPr="00831B6B" w:rsidRDefault="006361EA" w:rsidP="006361EA">
      <w:pPr>
        <w:jc w:val="center"/>
        <w:rPr>
          <w:sz w:val="24"/>
          <w:szCs w:val="32"/>
        </w:rPr>
      </w:pPr>
      <w:r w:rsidRPr="00831B6B">
        <w:rPr>
          <w:sz w:val="24"/>
          <w:szCs w:val="32"/>
        </w:rPr>
        <w:t>If you know the answers to all these questions, don’t come. If not</w:t>
      </w:r>
      <w:r w:rsidR="0080212C" w:rsidRPr="00831B6B">
        <w:rPr>
          <w:sz w:val="24"/>
          <w:szCs w:val="32"/>
        </w:rPr>
        <w:t>,</w:t>
      </w:r>
      <w:r w:rsidRPr="00831B6B">
        <w:rPr>
          <w:sz w:val="24"/>
          <w:szCs w:val="32"/>
        </w:rPr>
        <w:t xml:space="preserve"> drop in and learn</w:t>
      </w:r>
      <w:r w:rsidR="0080212C" w:rsidRPr="00831B6B">
        <w:rPr>
          <w:sz w:val="24"/>
          <w:szCs w:val="32"/>
        </w:rPr>
        <w:t>. Bring lunch</w:t>
      </w:r>
      <w:r w:rsidRPr="00831B6B">
        <w:rPr>
          <w:sz w:val="24"/>
          <w:szCs w:val="32"/>
        </w:rPr>
        <w:t>.</w:t>
      </w:r>
      <w:r w:rsidR="0080212C" w:rsidRPr="00831B6B">
        <w:rPr>
          <w:sz w:val="24"/>
          <w:szCs w:val="32"/>
        </w:rPr>
        <w:t xml:space="preserve"> Taught by Dr M Rockett inpatient pain management lead.</w:t>
      </w:r>
    </w:p>
    <w:p w14:paraId="04FCB0C1" w14:textId="77777777" w:rsidR="00416ADC" w:rsidRPr="00831B6B" w:rsidRDefault="00416ADC" w:rsidP="00416ADC">
      <w:pPr>
        <w:spacing w:after="0" w:line="240" w:lineRule="auto"/>
        <w:jc w:val="center"/>
        <w:rPr>
          <w:i/>
          <w:szCs w:val="24"/>
        </w:rPr>
      </w:pPr>
      <w:r w:rsidRPr="00831B6B">
        <w:rPr>
          <w:i/>
          <w:szCs w:val="24"/>
        </w:rPr>
        <w:t>“</w:t>
      </w:r>
      <w:r w:rsidR="006361EA" w:rsidRPr="00831B6B">
        <w:rPr>
          <w:i/>
          <w:szCs w:val="24"/>
        </w:rPr>
        <w:t>Acute pain management and safe opioid use is of utmost importance and a patient safety issue</w:t>
      </w:r>
      <w:r w:rsidRPr="00831B6B">
        <w:rPr>
          <w:i/>
          <w:szCs w:val="24"/>
        </w:rPr>
        <w:t>”</w:t>
      </w:r>
    </w:p>
    <w:p w14:paraId="12186EB0" w14:textId="79C4B553" w:rsidR="00416ADC" w:rsidRPr="00831B6B" w:rsidRDefault="0096229B" w:rsidP="00416ADC">
      <w:pPr>
        <w:spacing w:after="0" w:line="240" w:lineRule="auto"/>
        <w:jc w:val="center"/>
        <w:rPr>
          <w:i/>
          <w:szCs w:val="24"/>
        </w:rPr>
      </w:pPr>
      <w:r w:rsidRPr="00831B6B">
        <w:rPr>
          <w:i/>
          <w:szCs w:val="24"/>
        </w:rPr>
        <w:t>(F2 P</w:t>
      </w:r>
      <w:r w:rsidR="00416ADC" w:rsidRPr="00831B6B">
        <w:rPr>
          <w:i/>
          <w:szCs w:val="24"/>
        </w:rPr>
        <w:t xml:space="preserve">rogramme </w:t>
      </w:r>
      <w:r w:rsidRPr="00831B6B">
        <w:rPr>
          <w:i/>
          <w:szCs w:val="24"/>
        </w:rPr>
        <w:t>D</w:t>
      </w:r>
      <w:r w:rsidR="00416ADC" w:rsidRPr="00831B6B">
        <w:rPr>
          <w:i/>
          <w:szCs w:val="24"/>
        </w:rPr>
        <w:t>irector)</w:t>
      </w:r>
    </w:p>
    <w:p w14:paraId="4DAEE6ED" w14:textId="77777777" w:rsidR="00416ADC" w:rsidRPr="00831B6B" w:rsidRDefault="00416ADC" w:rsidP="00416ADC">
      <w:pPr>
        <w:spacing w:after="0" w:line="240" w:lineRule="auto"/>
        <w:jc w:val="center"/>
        <w:rPr>
          <w:i/>
          <w:szCs w:val="24"/>
        </w:rPr>
      </w:pPr>
    </w:p>
    <w:p w14:paraId="07517E03" w14:textId="694BEE4D" w:rsidR="00416ADC" w:rsidRPr="00831B6B" w:rsidRDefault="00E34200" w:rsidP="00416ADC">
      <w:pPr>
        <w:spacing w:after="0" w:line="240" w:lineRule="auto"/>
        <w:jc w:val="center"/>
        <w:rPr>
          <w:i/>
          <w:sz w:val="20"/>
          <w:szCs w:val="24"/>
        </w:rPr>
      </w:pPr>
      <w:r w:rsidRPr="00831B6B">
        <w:rPr>
          <w:i/>
          <w:szCs w:val="24"/>
        </w:rPr>
        <w:t>“Easily the most relevant teaching we have had</w:t>
      </w:r>
      <w:r w:rsidR="0096229B" w:rsidRPr="00831B6B">
        <w:rPr>
          <w:i/>
          <w:szCs w:val="24"/>
        </w:rPr>
        <w:t xml:space="preserve">” </w:t>
      </w:r>
      <w:r w:rsidR="00416ADC" w:rsidRPr="00831B6B">
        <w:rPr>
          <w:i/>
          <w:szCs w:val="24"/>
        </w:rPr>
        <w:t>”</w:t>
      </w:r>
      <w:r w:rsidR="0080212C" w:rsidRPr="00831B6B">
        <w:rPr>
          <w:i/>
          <w:sz w:val="20"/>
          <w:szCs w:val="24"/>
        </w:rPr>
        <w:t>Well presented, pitched at right</w:t>
      </w:r>
      <w:r w:rsidR="00416ADC" w:rsidRPr="00831B6B">
        <w:rPr>
          <w:i/>
          <w:sz w:val="20"/>
          <w:szCs w:val="24"/>
        </w:rPr>
        <w:t xml:space="preserve"> level”</w:t>
      </w:r>
      <w:r w:rsidR="0080212C" w:rsidRPr="00831B6B">
        <w:rPr>
          <w:i/>
          <w:sz w:val="20"/>
          <w:szCs w:val="24"/>
        </w:rPr>
        <w:t xml:space="preserve">   </w:t>
      </w:r>
      <w:r w:rsidR="00416ADC" w:rsidRPr="00831B6B">
        <w:rPr>
          <w:i/>
          <w:sz w:val="20"/>
          <w:szCs w:val="24"/>
        </w:rPr>
        <w:t>“</w:t>
      </w:r>
      <w:r w:rsidR="0080212C" w:rsidRPr="00831B6B">
        <w:rPr>
          <w:i/>
          <w:sz w:val="20"/>
          <w:szCs w:val="24"/>
        </w:rPr>
        <w:t>Nice to have some proper medical teaching in pharmacology</w:t>
      </w:r>
      <w:r w:rsidR="00416ADC" w:rsidRPr="00831B6B">
        <w:rPr>
          <w:i/>
          <w:sz w:val="20"/>
          <w:szCs w:val="24"/>
        </w:rPr>
        <w:t>”</w:t>
      </w:r>
      <w:r w:rsidR="0080212C" w:rsidRPr="00831B6B">
        <w:rPr>
          <w:i/>
          <w:sz w:val="20"/>
          <w:szCs w:val="24"/>
        </w:rPr>
        <w:t xml:space="preserve"> </w:t>
      </w:r>
      <w:r w:rsidR="00416ADC" w:rsidRPr="00831B6B">
        <w:rPr>
          <w:i/>
          <w:sz w:val="20"/>
          <w:szCs w:val="24"/>
        </w:rPr>
        <w:t xml:space="preserve">   “</w:t>
      </w:r>
      <w:r w:rsidR="0080212C" w:rsidRPr="00831B6B">
        <w:rPr>
          <w:i/>
          <w:sz w:val="20"/>
          <w:szCs w:val="24"/>
        </w:rPr>
        <w:t xml:space="preserve"> Really useful, not too much information all at once, a good amount for remembering</w:t>
      </w:r>
      <w:r w:rsidR="00416ADC" w:rsidRPr="00831B6B">
        <w:rPr>
          <w:i/>
          <w:sz w:val="20"/>
          <w:szCs w:val="24"/>
        </w:rPr>
        <w:t>”</w:t>
      </w:r>
    </w:p>
    <w:p w14:paraId="00115B81" w14:textId="762400BB" w:rsidR="006361EA" w:rsidRDefault="0096229B" w:rsidP="00416ADC">
      <w:pPr>
        <w:spacing w:after="0" w:line="240" w:lineRule="auto"/>
        <w:jc w:val="center"/>
        <w:rPr>
          <w:i/>
          <w:sz w:val="20"/>
          <w:szCs w:val="24"/>
        </w:rPr>
      </w:pPr>
      <w:r w:rsidRPr="00831B6B">
        <w:rPr>
          <w:i/>
          <w:sz w:val="20"/>
          <w:szCs w:val="24"/>
        </w:rPr>
        <w:t>(F2 F</w:t>
      </w:r>
      <w:r w:rsidR="00416ADC" w:rsidRPr="00831B6B">
        <w:rPr>
          <w:i/>
          <w:sz w:val="20"/>
          <w:szCs w:val="24"/>
        </w:rPr>
        <w:t>eedback)</w:t>
      </w:r>
    </w:p>
    <w:p w14:paraId="0B5DACC8" w14:textId="77777777" w:rsidR="00831B6B" w:rsidRDefault="00831B6B" w:rsidP="00416ADC">
      <w:pPr>
        <w:spacing w:after="0" w:line="240" w:lineRule="auto"/>
        <w:jc w:val="center"/>
        <w:rPr>
          <w:i/>
          <w:sz w:val="20"/>
          <w:szCs w:val="24"/>
        </w:rPr>
      </w:pPr>
    </w:p>
    <w:p w14:paraId="35FBE509" w14:textId="79C3CD7A" w:rsidR="00831B6B" w:rsidRPr="000E1445" w:rsidRDefault="00831B6B" w:rsidP="000E1445">
      <w:pPr>
        <w:spacing w:after="0" w:line="240" w:lineRule="auto"/>
        <w:jc w:val="both"/>
        <w:rPr>
          <w:bCs/>
          <w:i/>
          <w:iCs/>
          <w:sz w:val="20"/>
          <w:szCs w:val="36"/>
        </w:rPr>
      </w:pPr>
      <w:r w:rsidRPr="000E1445">
        <w:rPr>
          <w:b/>
          <w:bCs/>
          <w:i/>
          <w:iCs/>
          <w:sz w:val="20"/>
          <w:szCs w:val="36"/>
        </w:rPr>
        <w:t>PLEASE NOTE:</w:t>
      </w:r>
      <w:r w:rsidRPr="000E1445">
        <w:rPr>
          <w:bCs/>
          <w:i/>
          <w:iCs/>
          <w:sz w:val="20"/>
          <w:szCs w:val="36"/>
        </w:rPr>
        <w:t xml:space="preserve"> Covid-19</w:t>
      </w:r>
      <w:r w:rsidR="000E1445" w:rsidRPr="000E1445">
        <w:rPr>
          <w:bCs/>
          <w:i/>
          <w:iCs/>
          <w:sz w:val="20"/>
          <w:szCs w:val="36"/>
        </w:rPr>
        <w:t xml:space="preserve"> - The</w:t>
      </w:r>
      <w:r w:rsidRPr="000E1445">
        <w:rPr>
          <w:bCs/>
          <w:i/>
          <w:iCs/>
          <w:sz w:val="20"/>
          <w:szCs w:val="36"/>
        </w:rPr>
        <w:t xml:space="preserve"> speaker (Dr </w:t>
      </w:r>
      <w:proofErr w:type="spellStart"/>
      <w:r w:rsidRPr="000E1445">
        <w:rPr>
          <w:bCs/>
          <w:i/>
          <w:iCs/>
          <w:sz w:val="20"/>
          <w:szCs w:val="36"/>
        </w:rPr>
        <w:t>Rockett</w:t>
      </w:r>
      <w:proofErr w:type="spellEnd"/>
      <w:r w:rsidRPr="000E1445">
        <w:rPr>
          <w:bCs/>
          <w:i/>
          <w:iCs/>
          <w:sz w:val="20"/>
          <w:szCs w:val="36"/>
        </w:rPr>
        <w:t xml:space="preserve">) will be delivering these sessions </w:t>
      </w:r>
      <w:r w:rsidR="000E1445" w:rsidRPr="000E1445">
        <w:rPr>
          <w:bCs/>
          <w:i/>
          <w:iCs/>
          <w:sz w:val="20"/>
          <w:szCs w:val="36"/>
        </w:rPr>
        <w:t xml:space="preserve">face to face; however, this could change last minute due to Dr </w:t>
      </w:r>
      <w:proofErr w:type="spellStart"/>
      <w:r w:rsidR="000E1445" w:rsidRPr="000E1445">
        <w:rPr>
          <w:bCs/>
          <w:i/>
          <w:iCs/>
          <w:sz w:val="20"/>
          <w:szCs w:val="36"/>
        </w:rPr>
        <w:t>Rockett</w:t>
      </w:r>
      <w:proofErr w:type="spellEnd"/>
      <w:r w:rsidR="000E1445" w:rsidRPr="000E1445">
        <w:rPr>
          <w:bCs/>
          <w:i/>
          <w:iCs/>
          <w:sz w:val="20"/>
          <w:szCs w:val="36"/>
        </w:rPr>
        <w:t xml:space="preserve"> having so self-isolate etc.  Therefore, please keep an eye on emails/WhatsApp/website for any last-minute changes.  However,</w:t>
      </w:r>
      <w:r w:rsidRPr="000E1445">
        <w:rPr>
          <w:bCs/>
          <w:i/>
          <w:iCs/>
          <w:sz w:val="20"/>
          <w:szCs w:val="36"/>
        </w:rPr>
        <w:t xml:space="preserve"> we </w:t>
      </w:r>
      <w:r w:rsidR="000E1445" w:rsidRPr="000E1445">
        <w:rPr>
          <w:bCs/>
          <w:i/>
          <w:iCs/>
          <w:sz w:val="20"/>
          <w:szCs w:val="36"/>
        </w:rPr>
        <w:t>MUST</w:t>
      </w:r>
      <w:r w:rsidRPr="000E1445">
        <w:rPr>
          <w:bCs/>
          <w:i/>
          <w:iCs/>
          <w:sz w:val="20"/>
          <w:szCs w:val="36"/>
        </w:rPr>
        <w:t xml:space="preserve"> request that you book onto a session </w:t>
      </w:r>
      <w:r w:rsidR="000E1445" w:rsidRPr="000E1445">
        <w:rPr>
          <w:bCs/>
          <w:i/>
          <w:iCs/>
          <w:sz w:val="20"/>
          <w:szCs w:val="36"/>
        </w:rPr>
        <w:t>via the website so that we can monitor numbers,</w:t>
      </w:r>
      <w:r w:rsidRPr="000E1445">
        <w:rPr>
          <w:bCs/>
          <w:i/>
          <w:iCs/>
          <w:sz w:val="20"/>
          <w:szCs w:val="36"/>
        </w:rPr>
        <w:t xml:space="preserve"> and </w:t>
      </w:r>
      <w:r w:rsidR="000E1445" w:rsidRPr="000E1445">
        <w:rPr>
          <w:bCs/>
          <w:i/>
          <w:iCs/>
          <w:sz w:val="20"/>
          <w:szCs w:val="36"/>
        </w:rPr>
        <w:t>please attend face to face unless told differently</w:t>
      </w:r>
      <w:r w:rsidRPr="000E1445">
        <w:rPr>
          <w:bCs/>
          <w:i/>
          <w:iCs/>
          <w:sz w:val="20"/>
          <w:szCs w:val="36"/>
        </w:rPr>
        <w:t>.  If for any reason, you cannot attend any of these sessions in person please contact the foundation team</w:t>
      </w:r>
      <w:r w:rsidR="000E1445" w:rsidRPr="000E1445">
        <w:rPr>
          <w:bCs/>
          <w:i/>
          <w:iCs/>
          <w:sz w:val="20"/>
          <w:szCs w:val="36"/>
        </w:rPr>
        <w:t>.</w:t>
      </w:r>
    </w:p>
    <w:p w14:paraId="23BA1D1F" w14:textId="77777777" w:rsidR="00831B6B" w:rsidRPr="00831B6B" w:rsidRDefault="00831B6B" w:rsidP="00416ADC">
      <w:pPr>
        <w:spacing w:after="0" w:line="240" w:lineRule="auto"/>
        <w:jc w:val="center"/>
        <w:rPr>
          <w:i/>
          <w:sz w:val="20"/>
          <w:szCs w:val="24"/>
        </w:rPr>
      </w:pPr>
    </w:p>
    <w:sectPr w:rsidR="00831B6B" w:rsidRPr="00831B6B" w:rsidSect="00063A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7CE9"/>
    <w:multiLevelType w:val="hybridMultilevel"/>
    <w:tmpl w:val="82F0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EA"/>
    <w:rsid w:val="00063A3E"/>
    <w:rsid w:val="000E1445"/>
    <w:rsid w:val="0015301F"/>
    <w:rsid w:val="002372F0"/>
    <w:rsid w:val="002B7A03"/>
    <w:rsid w:val="002F51B3"/>
    <w:rsid w:val="00416ADC"/>
    <w:rsid w:val="004F193E"/>
    <w:rsid w:val="006361EA"/>
    <w:rsid w:val="0080212C"/>
    <w:rsid w:val="00831B6B"/>
    <w:rsid w:val="0096229B"/>
    <w:rsid w:val="00970C7A"/>
    <w:rsid w:val="00B25448"/>
    <w:rsid w:val="00B63120"/>
    <w:rsid w:val="00BD3F9C"/>
    <w:rsid w:val="00DE38A8"/>
    <w:rsid w:val="00E34200"/>
    <w:rsid w:val="00F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1FAA"/>
  <w15:docId w15:val="{24C6A0BC-B803-4017-803B-1E5305D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61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361EA"/>
    <w:rPr>
      <w:rFonts w:ascii="Arial" w:eastAsia="Times New Roman" w:hAnsi="Arial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B6B"/>
    <w:pPr>
      <w:ind w:left="720"/>
      <w:contextualSpacing/>
    </w:pPr>
  </w:style>
  <w:style w:type="table" w:styleId="TableGrid">
    <w:name w:val="Table Grid"/>
    <w:basedOn w:val="TableNormal"/>
    <w:uiPriority w:val="39"/>
    <w:rsid w:val="00DE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Rockett</dc:creator>
  <cp:lastModifiedBy>DREW, Emily (UNIVERSITY HOSPITALS PLYMOUTH NHS TRUST)</cp:lastModifiedBy>
  <cp:revision>2</cp:revision>
  <cp:lastPrinted>2021-10-04T10:02:00Z</cp:lastPrinted>
  <dcterms:created xsi:type="dcterms:W3CDTF">2022-08-18T09:03:00Z</dcterms:created>
  <dcterms:modified xsi:type="dcterms:W3CDTF">2022-08-18T09:03:00Z</dcterms:modified>
</cp:coreProperties>
</file>